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6B" w:rsidRDefault="00B3566B" w:rsidP="00B3566B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1, pp. 202-207.</w:t>
      </w:r>
    </w:p>
    <w:p w:rsidR="00325FCE" w:rsidRPr="00B3566B" w:rsidRDefault="00325FCE" w:rsidP="00B3566B">
      <w:pPr>
        <w:suppressLineNumbers/>
        <w:spacing w:after="0"/>
        <w:rPr>
          <w:b/>
          <w:sz w:val="32"/>
        </w:rPr>
      </w:pPr>
      <w:r w:rsidRPr="00B3566B">
        <w:rPr>
          <w:b/>
          <w:sz w:val="32"/>
        </w:rPr>
        <w:t>Des Ordres</w:t>
      </w:r>
    </w:p>
    <w:p w:rsidR="00325FCE" w:rsidRPr="00B3566B" w:rsidRDefault="00325FCE" w:rsidP="00B3566B">
      <w:pPr>
        <w:suppressLineNumbers/>
        <w:spacing w:after="0"/>
        <w:rPr>
          <w:b/>
          <w:sz w:val="32"/>
        </w:rPr>
      </w:pPr>
      <w:r w:rsidRPr="00B3566B">
        <w:rPr>
          <w:b/>
          <w:sz w:val="32"/>
        </w:rPr>
        <w:t>ou</w:t>
      </w:r>
    </w:p>
    <w:p w:rsidR="00325FCE" w:rsidRPr="00893332" w:rsidRDefault="00325FCE" w:rsidP="00B3566B">
      <w:pPr>
        <w:suppressLineNumbers/>
        <w:spacing w:after="0"/>
        <w:rPr>
          <w:sz w:val="24"/>
        </w:rPr>
      </w:pPr>
      <w:r w:rsidRPr="00B3566B">
        <w:rPr>
          <w:b/>
          <w:sz w:val="32"/>
        </w:rPr>
        <w:t>La Chanson des Ordres</w:t>
      </w:r>
      <w:r w:rsidRPr="00893332">
        <w:rPr>
          <w:sz w:val="24"/>
          <w:vertAlign w:val="superscript"/>
        </w:rPr>
        <w:footnoteReference w:id="2"/>
      </w:r>
      <w:r w:rsidRPr="00893332">
        <w:rPr>
          <w:sz w:val="24"/>
        </w:rPr>
        <w:t>.</w:t>
      </w:r>
    </w:p>
    <w:p w:rsidR="00325FCE" w:rsidRPr="00893332" w:rsidRDefault="00325FCE" w:rsidP="00187E32">
      <w:pPr>
        <w:suppressLineNumbers/>
        <w:spacing w:after="0"/>
        <w:ind w:firstLine="284"/>
        <w:rPr>
          <w:sz w:val="24"/>
        </w:rPr>
      </w:pPr>
      <w:r w:rsidRPr="00893332">
        <w:rPr>
          <w:sz w:val="24"/>
        </w:rPr>
        <w:t>Mss. 7218</w:t>
      </w:r>
      <w:r w:rsidR="00F145E7" w:rsidRPr="00893332">
        <w:rPr>
          <w:sz w:val="24"/>
        </w:rPr>
        <w:t xml:space="preserve">, </w:t>
      </w:r>
      <w:r w:rsidRPr="00893332">
        <w:rPr>
          <w:sz w:val="24"/>
        </w:rPr>
        <w:t>7615</w:t>
      </w:r>
      <w:r w:rsidR="00F145E7" w:rsidRPr="00893332">
        <w:rPr>
          <w:sz w:val="24"/>
        </w:rPr>
        <w:t xml:space="preserve">, </w:t>
      </w:r>
      <w:r w:rsidRPr="00893332">
        <w:rPr>
          <w:sz w:val="24"/>
        </w:rPr>
        <w:t>7633.</w:t>
      </w:r>
    </w:p>
    <w:p w:rsidR="00325FCE" w:rsidRPr="00893332" w:rsidRDefault="00325FCE" w:rsidP="00187E32">
      <w:pPr>
        <w:suppressLineNumbers/>
        <w:spacing w:after="0"/>
        <w:ind w:firstLine="284"/>
        <w:rPr>
          <w:sz w:val="24"/>
        </w:rPr>
      </w:pP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 xml:space="preserve">Du ſiècle vueil chanter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 xml:space="preserve">Que je voi enchanter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 xml:space="preserve">Tel vens porra venter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Qu</w:t>
      </w:r>
      <w:r w:rsidR="00F145E7" w:rsidRPr="00893332">
        <w:rPr>
          <w:sz w:val="24"/>
        </w:rPr>
        <w:t>’</w:t>
      </w:r>
      <w:r w:rsidRPr="00893332">
        <w:rPr>
          <w:sz w:val="24"/>
        </w:rPr>
        <w:t>il n</w:t>
      </w:r>
      <w:r w:rsidR="00F145E7" w:rsidRPr="00893332">
        <w:rPr>
          <w:sz w:val="24"/>
        </w:rPr>
        <w:t>’</w:t>
      </w:r>
      <w:r w:rsidRPr="00893332">
        <w:rPr>
          <w:sz w:val="24"/>
        </w:rPr>
        <w:t>ira mie ainſi.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Papelart &amp; Béguin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Ont le ſiècle honi.</w:t>
      </w:r>
    </w:p>
    <w:p w:rsidR="00325FCE" w:rsidRPr="00893332" w:rsidRDefault="00325FCE" w:rsidP="00187E32">
      <w:pPr>
        <w:suppressLineNumbers/>
        <w:spacing w:after="0"/>
        <w:ind w:firstLine="284"/>
        <w:rPr>
          <w:sz w:val="24"/>
        </w:rPr>
      </w:pP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Tant d</w:t>
      </w:r>
      <w:r w:rsidR="00F145E7" w:rsidRPr="00893332">
        <w:rPr>
          <w:sz w:val="24"/>
        </w:rPr>
        <w:t>’</w:t>
      </w:r>
      <w:r w:rsidRPr="00893332">
        <w:rPr>
          <w:sz w:val="24"/>
        </w:rPr>
        <w:t>ordres avons jà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Ne ſai qui les ſonja</w:t>
      </w:r>
      <w:r w:rsidR="00F145E7" w:rsidRPr="00893332">
        <w:rPr>
          <w:sz w:val="24"/>
        </w:rPr>
        <w:t xml:space="preserve">,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Ainz Diex tels genz noma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N</w:t>
      </w:r>
      <w:r w:rsidR="00F145E7" w:rsidRPr="00893332">
        <w:rPr>
          <w:sz w:val="24"/>
        </w:rPr>
        <w:t>’</w:t>
      </w:r>
      <w:r w:rsidRPr="00893332">
        <w:rPr>
          <w:sz w:val="24"/>
        </w:rPr>
        <w:t xml:space="preserve">il ne ſont ſi ami.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 xml:space="preserve">Papelart &amp; Béguin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Ont le ſiècle honi.</w:t>
      </w:r>
    </w:p>
    <w:p w:rsidR="00325FCE" w:rsidRPr="00893332" w:rsidRDefault="00325FCE" w:rsidP="00187E32">
      <w:pPr>
        <w:suppressLineNumbers/>
        <w:spacing w:after="0"/>
        <w:ind w:firstLine="284"/>
        <w:rPr>
          <w:sz w:val="24"/>
        </w:rPr>
      </w:pP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Frère Prédicator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Sont de mult ſimple ator</w:t>
      </w:r>
      <w:r w:rsidR="00F145E7" w:rsidRPr="00893332">
        <w:rPr>
          <w:sz w:val="24"/>
        </w:rPr>
        <w:t xml:space="preserve">,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 xml:space="preserve">Et ſont en lor deſtor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Mainte bon pariſi</w:t>
      </w:r>
      <w:r w:rsidRPr="00893332">
        <w:rPr>
          <w:sz w:val="24"/>
          <w:vertAlign w:val="superscript"/>
        </w:rPr>
        <w:footnoteReference w:id="3"/>
      </w:r>
      <w:r w:rsidRPr="00893332">
        <w:rPr>
          <w:sz w:val="24"/>
        </w:rPr>
        <w:t>.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Papelart &amp; Béguin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Ont le ſiècle honi.</w:t>
      </w:r>
    </w:p>
    <w:p w:rsidR="00325FCE" w:rsidRPr="00893332" w:rsidRDefault="00325FCE" w:rsidP="00187E32">
      <w:pPr>
        <w:suppressLineNumbers/>
        <w:spacing w:after="0"/>
        <w:ind w:firstLine="284"/>
        <w:rPr>
          <w:sz w:val="24"/>
        </w:rPr>
      </w:pP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 xml:space="preserve">Et li Frère Menu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 xml:space="preserve">Nous ont ſi près tenu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Que il ont retenu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De l</w:t>
      </w:r>
      <w:r w:rsidR="00F145E7" w:rsidRPr="00893332">
        <w:rPr>
          <w:sz w:val="24"/>
        </w:rPr>
        <w:t>’</w:t>
      </w:r>
      <w:r w:rsidRPr="00893332">
        <w:rPr>
          <w:sz w:val="24"/>
        </w:rPr>
        <w:t>avoir autreſſi</w:t>
      </w:r>
      <w:r w:rsidRPr="00893332">
        <w:rPr>
          <w:sz w:val="24"/>
          <w:vertAlign w:val="superscript"/>
        </w:rPr>
        <w:footnoteReference w:id="4"/>
      </w:r>
      <w:r w:rsidRPr="00893332">
        <w:rPr>
          <w:sz w:val="24"/>
        </w:rPr>
        <w:t xml:space="preserve">.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 xml:space="preserve">Papelart &amp; Béguin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Ont le ſiècle honi.</w:t>
      </w:r>
    </w:p>
    <w:p w:rsidR="00325FCE" w:rsidRPr="00893332" w:rsidRDefault="00325FCE" w:rsidP="00187E32">
      <w:pPr>
        <w:suppressLineNumbers/>
        <w:spacing w:after="0"/>
        <w:ind w:firstLine="284"/>
        <w:rPr>
          <w:sz w:val="24"/>
        </w:rPr>
      </w:pP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Qui ces .ij. n</w:t>
      </w:r>
      <w:r w:rsidR="00F145E7" w:rsidRPr="00893332">
        <w:rPr>
          <w:sz w:val="24"/>
        </w:rPr>
        <w:t>’</w:t>
      </w:r>
      <w:r w:rsidRPr="00893332">
        <w:rPr>
          <w:sz w:val="24"/>
        </w:rPr>
        <w:t>obéiſt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Et qui ne lor géhiſt</w:t>
      </w:r>
      <w:r w:rsidRPr="00893332">
        <w:rPr>
          <w:sz w:val="24"/>
          <w:vertAlign w:val="superscript"/>
        </w:rPr>
        <w:footnoteReference w:id="5"/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Quanqu</w:t>
      </w:r>
      <w:r w:rsidR="00F145E7" w:rsidRPr="00893332">
        <w:rPr>
          <w:sz w:val="24"/>
        </w:rPr>
        <w:t>’</w:t>
      </w:r>
      <w:r w:rsidRPr="00893332">
        <w:rPr>
          <w:sz w:val="24"/>
        </w:rPr>
        <w:t>il oncques féiſt</w:t>
      </w:r>
      <w:r w:rsidR="00F145E7" w:rsidRPr="00893332">
        <w:rPr>
          <w:sz w:val="24"/>
        </w:rPr>
        <w:t xml:space="preserve">,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Tels bougres de naſqui.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 xml:space="preserve">Papelart &amp; Béguin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 xml:space="preserve">Ont le ſiècle honi. </w:t>
      </w:r>
    </w:p>
    <w:p w:rsidR="00325FCE" w:rsidRPr="00893332" w:rsidRDefault="00325FCE" w:rsidP="00187E32">
      <w:pPr>
        <w:suppressLineNumbers/>
        <w:spacing w:after="0"/>
        <w:ind w:firstLine="284"/>
        <w:rPr>
          <w:sz w:val="24"/>
        </w:rPr>
      </w:pP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Aſſez dient de bien</w:t>
      </w:r>
      <w:r w:rsidR="00F145E7" w:rsidRPr="00893332">
        <w:rPr>
          <w:sz w:val="24"/>
        </w:rPr>
        <w:t xml:space="preserve">,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Ne ſai ſ</w:t>
      </w:r>
      <w:r w:rsidR="00F145E7" w:rsidRPr="00893332">
        <w:rPr>
          <w:sz w:val="24"/>
        </w:rPr>
        <w:t>’</w:t>
      </w:r>
      <w:r w:rsidRPr="00893332">
        <w:rPr>
          <w:sz w:val="24"/>
        </w:rPr>
        <w:t>il en font rien</w:t>
      </w:r>
      <w:r w:rsidR="00F145E7" w:rsidRPr="00893332">
        <w:rPr>
          <w:sz w:val="24"/>
        </w:rPr>
        <w:t xml:space="preserve"> ;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 xml:space="preserve">Qui lor done du ſien.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 xml:space="preserve">Tel preudomme ne vi.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 xml:space="preserve">Papelart &amp; Béguin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Ont le ſiècle honi.</w:t>
      </w:r>
    </w:p>
    <w:p w:rsidR="00325FCE" w:rsidRPr="00893332" w:rsidRDefault="00325FCE" w:rsidP="00187E32">
      <w:pPr>
        <w:suppressLineNumbers/>
        <w:spacing w:after="0"/>
        <w:ind w:firstLine="284"/>
        <w:rPr>
          <w:sz w:val="24"/>
        </w:rPr>
      </w:pP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Cil de la Trinité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Ont grant fraternité</w:t>
      </w:r>
      <w:r w:rsidR="00F145E7" w:rsidRPr="00893332">
        <w:rPr>
          <w:sz w:val="24"/>
        </w:rPr>
        <w:t xml:space="preserve"> ;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 xml:space="preserve">Bien ſe ſont aquité :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D</w:t>
      </w:r>
      <w:r w:rsidR="00F145E7" w:rsidRPr="00893332">
        <w:rPr>
          <w:sz w:val="24"/>
        </w:rPr>
        <w:t>’</w:t>
      </w:r>
      <w:r w:rsidRPr="00893332">
        <w:rPr>
          <w:sz w:val="24"/>
        </w:rPr>
        <w:t>aſnes ont fet roncin</w:t>
      </w:r>
      <w:r w:rsidRPr="00893332">
        <w:rPr>
          <w:sz w:val="24"/>
          <w:vertAlign w:val="superscript"/>
        </w:rPr>
        <w:footnoteReference w:id="6"/>
      </w:r>
      <w:r w:rsidRPr="00893332">
        <w:rPr>
          <w:sz w:val="24"/>
        </w:rPr>
        <w:t>.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 xml:space="preserve">Papelart &amp; Béguin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 xml:space="preserve">Ont le ſiècle boni. </w:t>
      </w:r>
    </w:p>
    <w:p w:rsidR="00325FCE" w:rsidRPr="00893332" w:rsidRDefault="00325FCE" w:rsidP="00187E32">
      <w:pPr>
        <w:suppressLineNumbers/>
        <w:spacing w:after="0"/>
        <w:ind w:firstLine="284"/>
        <w:rPr>
          <w:sz w:val="24"/>
        </w:rPr>
      </w:pP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Et li Frère Barré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Reſont cras &amp; quarré</w:t>
      </w:r>
      <w:r w:rsidR="00F145E7" w:rsidRPr="00893332">
        <w:rPr>
          <w:sz w:val="24"/>
        </w:rPr>
        <w:t xml:space="preserve">,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Ne ſont pas enſerré :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 xml:space="preserve">Je les vi mercredi.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 xml:space="preserve">Papelart &amp; Béguin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Ont le ſiècle honi.</w:t>
      </w:r>
    </w:p>
    <w:p w:rsidR="00325FCE" w:rsidRPr="00893332" w:rsidRDefault="00325FCE" w:rsidP="00187E32">
      <w:pPr>
        <w:suppressLineNumbers/>
        <w:spacing w:after="0"/>
        <w:ind w:firstLine="284"/>
        <w:rPr>
          <w:sz w:val="24"/>
        </w:rPr>
      </w:pP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 xml:space="preserve">Noſtres Frère Sachier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Ont luminon fet chier.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 xml:space="preserve">Chaſcuns ſamble vachier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 xml:space="preserve">Qui iſt de ſon meſni.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Papelart &amp; Béguin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Ont le ſiècle honi.</w:t>
      </w:r>
    </w:p>
    <w:p w:rsidR="00325FCE" w:rsidRPr="00893332" w:rsidRDefault="00325FCE" w:rsidP="00187E32">
      <w:pPr>
        <w:suppressLineNumbers/>
        <w:spacing w:after="0"/>
        <w:ind w:firstLine="284"/>
        <w:rPr>
          <w:sz w:val="24"/>
        </w:rPr>
      </w:pP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 xml:space="preserve">Set vins filles ou plus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A li Roi en reclus</w:t>
      </w:r>
      <w:r w:rsidR="00F145E7" w:rsidRPr="00893332">
        <w:rPr>
          <w:sz w:val="24"/>
        </w:rPr>
        <w:t xml:space="preserve"> ;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 xml:space="preserve">Oncques mès quens ne dus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lastRenderedPageBreak/>
        <w:t>Tant n</w:t>
      </w:r>
      <w:r w:rsidR="00F145E7" w:rsidRPr="00893332">
        <w:rPr>
          <w:sz w:val="24"/>
        </w:rPr>
        <w:t>’</w:t>
      </w:r>
      <w:r w:rsidRPr="00893332">
        <w:rPr>
          <w:sz w:val="24"/>
        </w:rPr>
        <w:t>en congenui</w:t>
      </w:r>
      <w:r w:rsidRPr="00893332">
        <w:rPr>
          <w:sz w:val="24"/>
          <w:vertAlign w:val="superscript"/>
        </w:rPr>
        <w:footnoteReference w:id="7"/>
      </w:r>
      <w:r w:rsidRPr="00893332">
        <w:rPr>
          <w:sz w:val="24"/>
        </w:rPr>
        <w:t>.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Papelart &amp; Béguin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Ont le ſiècle honi.</w:t>
      </w:r>
    </w:p>
    <w:p w:rsidR="00325FCE" w:rsidRPr="00893332" w:rsidRDefault="00325FCE" w:rsidP="00187E32">
      <w:pPr>
        <w:suppressLineNumbers/>
        <w:spacing w:after="0"/>
        <w:ind w:firstLine="284"/>
        <w:rPr>
          <w:sz w:val="24"/>
        </w:rPr>
      </w:pPr>
    </w:p>
    <w:p w:rsidR="00325FCE" w:rsidRPr="00893332" w:rsidRDefault="00325FCE" w:rsidP="00187E32">
      <w:pPr>
        <w:spacing w:after="0"/>
        <w:ind w:firstLine="284"/>
        <w:rPr>
          <w:bCs/>
          <w:sz w:val="24"/>
        </w:rPr>
      </w:pPr>
      <w:r w:rsidRPr="00893332">
        <w:rPr>
          <w:sz w:val="24"/>
        </w:rPr>
        <w:t>Béguines a-on mont</w:t>
      </w:r>
      <w:r w:rsidRPr="00893332">
        <w:rPr>
          <w:sz w:val="24"/>
          <w:vertAlign w:val="superscript"/>
        </w:rPr>
        <w:footnoteReference w:id="8"/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Qui larges robes ont</w:t>
      </w:r>
      <w:r w:rsidR="00F145E7" w:rsidRPr="00893332">
        <w:rPr>
          <w:sz w:val="24"/>
        </w:rPr>
        <w:t xml:space="preserve"> ;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Deſouz les robes font</w:t>
      </w:r>
      <w:r w:rsidRPr="00893332">
        <w:rPr>
          <w:sz w:val="24"/>
          <w:vertAlign w:val="superscript"/>
        </w:rPr>
        <w:footnoteReference w:id="9"/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 xml:space="preserve">Ce que pas ne vous di.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Papelart &amp; Béguin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Ont le fiècle honi.</w:t>
      </w:r>
    </w:p>
    <w:p w:rsidR="00325FCE" w:rsidRPr="00893332" w:rsidRDefault="00325FCE" w:rsidP="00187E32">
      <w:pPr>
        <w:suppressLineNumbers/>
        <w:spacing w:after="0"/>
        <w:ind w:firstLine="284"/>
        <w:rPr>
          <w:sz w:val="24"/>
        </w:rPr>
      </w:pPr>
    </w:p>
    <w:p w:rsidR="00325FCE" w:rsidRPr="00893332" w:rsidRDefault="00325FCE" w:rsidP="00187E32">
      <w:pPr>
        <w:spacing w:after="0"/>
        <w:ind w:firstLine="284"/>
        <w:rPr>
          <w:bCs/>
          <w:sz w:val="24"/>
        </w:rPr>
      </w:pPr>
      <w:r w:rsidRPr="00893332">
        <w:rPr>
          <w:sz w:val="24"/>
        </w:rPr>
        <w:t>L</w:t>
      </w:r>
      <w:r w:rsidR="00F145E7" w:rsidRPr="00893332">
        <w:rPr>
          <w:sz w:val="24"/>
        </w:rPr>
        <w:t>’</w:t>
      </w:r>
      <w:r w:rsidRPr="00893332">
        <w:rPr>
          <w:sz w:val="24"/>
        </w:rPr>
        <w:t>ordre des non-voianz</w:t>
      </w:r>
      <w:r w:rsidRPr="00893332">
        <w:rPr>
          <w:sz w:val="24"/>
          <w:vertAlign w:val="superscript"/>
        </w:rPr>
        <w:footnoteReference w:id="10"/>
      </w:r>
      <w:r w:rsidRPr="00893332">
        <w:rPr>
          <w:bCs/>
          <w:sz w:val="24"/>
        </w:rPr>
        <w:t xml:space="preserve">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Tels ordre eſt bien noianz</w:t>
      </w:r>
      <w:r w:rsidR="00F145E7" w:rsidRPr="00893332">
        <w:rPr>
          <w:sz w:val="24"/>
        </w:rPr>
        <w:t xml:space="preserve">,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Il taſtent par léanz :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« Quant veniſtes-vous ci</w:t>
      </w:r>
      <w:r w:rsidR="00F145E7" w:rsidRPr="00893332">
        <w:rPr>
          <w:sz w:val="24"/>
        </w:rPr>
        <w:t xml:space="preserve"> ? </w:t>
      </w:r>
      <w:r w:rsidRPr="00893332">
        <w:rPr>
          <w:sz w:val="24"/>
        </w:rPr>
        <w:t>»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Papelart &amp; Béguin.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Ont le ſiècle honi.</w:t>
      </w:r>
    </w:p>
    <w:p w:rsidR="00325FCE" w:rsidRPr="00893332" w:rsidRDefault="00325FCE" w:rsidP="00187E32">
      <w:pPr>
        <w:suppressLineNumbers/>
        <w:spacing w:after="0"/>
        <w:ind w:firstLine="284"/>
        <w:rPr>
          <w:sz w:val="24"/>
        </w:rPr>
      </w:pPr>
    </w:p>
    <w:p w:rsidR="00325FCE" w:rsidRPr="00893332" w:rsidRDefault="00325FCE" w:rsidP="00187E32">
      <w:pPr>
        <w:spacing w:after="0"/>
        <w:ind w:firstLine="284"/>
        <w:rPr>
          <w:bCs/>
          <w:sz w:val="24"/>
        </w:rPr>
      </w:pPr>
      <w:r w:rsidRPr="00893332">
        <w:rPr>
          <w:sz w:val="24"/>
        </w:rPr>
        <w:t>Li frère Guillemin</w:t>
      </w:r>
      <w:r w:rsidRPr="00893332">
        <w:rPr>
          <w:sz w:val="24"/>
          <w:vertAlign w:val="superscript"/>
        </w:rPr>
        <w:footnoteReference w:id="11"/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 xml:space="preserve">Li autre frere Hermin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M</w:t>
      </w:r>
      <w:r w:rsidR="00F145E7" w:rsidRPr="00893332">
        <w:rPr>
          <w:sz w:val="24"/>
        </w:rPr>
        <w:t>’</w:t>
      </w:r>
      <w:r w:rsidRPr="00893332">
        <w:rPr>
          <w:sz w:val="24"/>
        </w:rPr>
        <w:t xml:space="preserve">amor lor atermin : 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Je</w:t>
      </w:r>
      <w:r w:rsidR="00F145E7" w:rsidRPr="00893332">
        <w:rPr>
          <w:sz w:val="24"/>
        </w:rPr>
        <w:t>’</w:t>
      </w:r>
      <w:r w:rsidRPr="00893332">
        <w:rPr>
          <w:sz w:val="24"/>
        </w:rPr>
        <w:t xml:space="preserve">s amenai mardi. </w:t>
      </w:r>
    </w:p>
    <w:p w:rsidR="00187E32" w:rsidRDefault="00187E32" w:rsidP="00187E32">
      <w:pPr>
        <w:spacing w:after="0"/>
        <w:ind w:firstLine="284"/>
        <w:rPr>
          <w:sz w:val="24"/>
        </w:rPr>
      </w:pPr>
      <w:r>
        <w:rPr>
          <w:sz w:val="24"/>
        </w:rPr>
        <w:t>Papelart &amp; Béguin</w:t>
      </w:r>
    </w:p>
    <w:p w:rsidR="00325FCE" w:rsidRPr="00893332" w:rsidRDefault="00325FCE" w:rsidP="00187E32">
      <w:pPr>
        <w:spacing w:after="0"/>
        <w:ind w:firstLine="284"/>
        <w:rPr>
          <w:sz w:val="24"/>
        </w:rPr>
      </w:pPr>
      <w:r w:rsidRPr="00893332">
        <w:rPr>
          <w:sz w:val="24"/>
        </w:rPr>
        <w:t>Ont le ſiècle honi.</w:t>
      </w:r>
    </w:p>
    <w:p w:rsidR="00325FCE" w:rsidRPr="00893332" w:rsidRDefault="00325FCE" w:rsidP="00187E32">
      <w:pPr>
        <w:suppressLineNumbers/>
        <w:spacing w:after="0"/>
        <w:ind w:firstLine="284"/>
        <w:rPr>
          <w:sz w:val="24"/>
        </w:rPr>
      </w:pPr>
    </w:p>
    <w:p w:rsidR="00325FCE" w:rsidRPr="00893332" w:rsidRDefault="00325FCE" w:rsidP="00187E32">
      <w:pPr>
        <w:suppressLineNumbers/>
        <w:spacing w:after="0"/>
        <w:ind w:firstLine="284"/>
        <w:rPr>
          <w:sz w:val="24"/>
        </w:rPr>
      </w:pPr>
      <w:r w:rsidRPr="00893332">
        <w:rPr>
          <w:sz w:val="24"/>
        </w:rPr>
        <w:t>Explicit les Ordres.</w:t>
      </w:r>
    </w:p>
    <w:sectPr w:rsidR="00325FCE" w:rsidRPr="00893332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222" w:rsidRDefault="001A6222" w:rsidP="00803247">
      <w:pPr>
        <w:spacing w:after="0" w:line="240" w:lineRule="auto"/>
      </w:pPr>
      <w:r>
        <w:separator/>
      </w:r>
    </w:p>
  </w:endnote>
  <w:endnote w:type="continuationSeparator" w:id="1">
    <w:p w:rsidR="001A6222" w:rsidRDefault="001A6222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222" w:rsidRDefault="001A6222" w:rsidP="00803247">
      <w:pPr>
        <w:spacing w:after="0" w:line="240" w:lineRule="auto"/>
      </w:pPr>
      <w:r>
        <w:separator/>
      </w:r>
    </w:p>
  </w:footnote>
  <w:footnote w:type="continuationSeparator" w:id="1">
    <w:p w:rsidR="001A6222" w:rsidRDefault="001A6222" w:rsidP="00803247">
      <w:pPr>
        <w:spacing w:after="0" w:line="240" w:lineRule="auto"/>
      </w:pPr>
      <w:r>
        <w:continuationSeparator/>
      </w:r>
    </w:p>
  </w:footnote>
  <w:footnote w:id="2">
    <w:p w:rsidR="00325FCE" w:rsidRPr="00893332" w:rsidRDefault="00325FCE" w:rsidP="00187E32">
      <w:pPr>
        <w:pStyle w:val="Notedebasdepage"/>
        <w:ind w:firstLine="284"/>
        <w:jc w:val="both"/>
        <w:rPr>
          <w:iCs/>
          <w:sz w:val="22"/>
        </w:rPr>
      </w:pPr>
      <w:r w:rsidRPr="00893332">
        <w:rPr>
          <w:rStyle w:val="Appelnotedebasdep"/>
          <w:sz w:val="22"/>
        </w:rPr>
        <w:footnoteRef/>
      </w:r>
      <w:r w:rsidRPr="00893332">
        <w:rPr>
          <w:sz w:val="22"/>
        </w:rPr>
        <w:t xml:space="preserve"> Cette pièce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>qui est probablement du même temps que la précédente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>a été imprimée par Méon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>p. 299 de son édition de Barbazan. Legrand d</w:t>
      </w:r>
      <w:r w:rsidR="00F145E7" w:rsidRPr="00893332">
        <w:rPr>
          <w:sz w:val="22"/>
        </w:rPr>
        <w:t>’</w:t>
      </w:r>
      <w:r w:rsidRPr="00893332">
        <w:rPr>
          <w:sz w:val="22"/>
        </w:rPr>
        <w:t>Aussy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 xml:space="preserve">dans une note qui se trouve à la fin de son extrait de </w:t>
      </w:r>
      <w:r w:rsidRPr="00893332">
        <w:rPr>
          <w:i/>
          <w:iCs/>
          <w:sz w:val="22"/>
        </w:rPr>
        <w:t>La bataille des</w:t>
      </w:r>
      <w:r w:rsidR="00187E32" w:rsidRPr="00187E32">
        <w:rPr>
          <w:iCs/>
          <w:sz w:val="22"/>
        </w:rPr>
        <w:t>,</w:t>
      </w:r>
      <w:r w:rsidR="00F145E7" w:rsidRPr="00893332">
        <w:rPr>
          <w:i/>
          <w:iCs/>
          <w:sz w:val="22"/>
        </w:rPr>
        <w:t xml:space="preserve"> </w:t>
      </w:r>
      <w:r w:rsidRPr="00893332">
        <w:rPr>
          <w:i/>
          <w:iCs/>
          <w:sz w:val="22"/>
        </w:rPr>
        <w:t>vices et des vertus</w:t>
      </w:r>
      <w:r w:rsidR="00F145E7" w:rsidRPr="00893332">
        <w:rPr>
          <w:iCs/>
          <w:sz w:val="22"/>
        </w:rPr>
        <w:t xml:space="preserve">, </w:t>
      </w:r>
      <w:r w:rsidRPr="00893332">
        <w:rPr>
          <w:sz w:val="22"/>
        </w:rPr>
        <w:t>p. 410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>du</w:t>
      </w:r>
      <w:r w:rsidR="00187E32" w:rsidRPr="00187E32">
        <w:rPr>
          <w:sz w:val="22"/>
        </w:rPr>
        <w:t xml:space="preserve"> t.</w:t>
      </w:r>
      <w:r w:rsidRPr="00893332">
        <w:rPr>
          <w:sz w:val="22"/>
        </w:rPr>
        <w:t xml:space="preserve">V des </w:t>
      </w:r>
      <w:r w:rsidRPr="00893332">
        <w:rPr>
          <w:i/>
          <w:iCs/>
          <w:sz w:val="22"/>
        </w:rPr>
        <w:t>Notices des manuscrits</w:t>
      </w:r>
      <w:r w:rsidR="00F145E7" w:rsidRPr="00893332">
        <w:rPr>
          <w:iCs/>
          <w:sz w:val="22"/>
        </w:rPr>
        <w:t xml:space="preserve">, </w:t>
      </w:r>
      <w:r w:rsidRPr="00893332">
        <w:rPr>
          <w:sz w:val="22"/>
        </w:rPr>
        <w:t>en a cité trois strophes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>sa</w:t>
      </w:r>
      <w:r w:rsidRPr="00893332">
        <w:rPr>
          <w:sz w:val="22"/>
        </w:rPr>
        <w:softHyphen/>
        <w:t>voir</w:t>
      </w:r>
      <w:r w:rsidR="00187E32">
        <w:rPr>
          <w:sz w:val="22"/>
        </w:rPr>
        <w:t> :</w:t>
      </w:r>
      <w:r w:rsidRPr="00893332">
        <w:rPr>
          <w:sz w:val="22"/>
        </w:rPr>
        <w:t xml:space="preserve"> la 5</w:t>
      </w:r>
      <w:r w:rsidRPr="00893332">
        <w:rPr>
          <w:sz w:val="22"/>
          <w:vertAlign w:val="superscript"/>
        </w:rPr>
        <w:t>e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>la 6</w:t>
      </w:r>
      <w:r w:rsidRPr="00893332">
        <w:rPr>
          <w:sz w:val="22"/>
          <w:vertAlign w:val="superscript"/>
        </w:rPr>
        <w:t>e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>et enfin la 11</w:t>
      </w:r>
      <w:r w:rsidRPr="00893332">
        <w:rPr>
          <w:sz w:val="22"/>
          <w:vertAlign w:val="superscript"/>
        </w:rPr>
        <w:t>e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>dont il dit qu</w:t>
      </w:r>
      <w:r w:rsidR="00F145E7" w:rsidRPr="00893332">
        <w:rPr>
          <w:sz w:val="22"/>
        </w:rPr>
        <w:t>’</w:t>
      </w:r>
      <w:r w:rsidRPr="00893332">
        <w:rPr>
          <w:sz w:val="22"/>
        </w:rPr>
        <w:t>elle « lui paraît mériter d</w:t>
      </w:r>
      <w:r w:rsidR="00F145E7" w:rsidRPr="00893332">
        <w:rPr>
          <w:sz w:val="22"/>
        </w:rPr>
        <w:t>’</w:t>
      </w:r>
      <w:r w:rsidRPr="00893332">
        <w:rPr>
          <w:sz w:val="22"/>
        </w:rPr>
        <w:t>être remarquée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>et qu</w:t>
      </w:r>
      <w:r w:rsidR="00F145E7" w:rsidRPr="00893332">
        <w:rPr>
          <w:sz w:val="22"/>
        </w:rPr>
        <w:t>’</w:t>
      </w:r>
      <w:r w:rsidRPr="00893332">
        <w:rPr>
          <w:sz w:val="22"/>
        </w:rPr>
        <w:t>elle peut faire honneur au talent du poëte. » Je crois qu</w:t>
      </w:r>
      <w:r w:rsidR="00F145E7" w:rsidRPr="00893332">
        <w:rPr>
          <w:sz w:val="22"/>
        </w:rPr>
        <w:t>’</w:t>
      </w:r>
      <w:r w:rsidRPr="00893332">
        <w:rPr>
          <w:sz w:val="22"/>
        </w:rPr>
        <w:t xml:space="preserve">il eût été plus exact de dire </w:t>
      </w:r>
      <w:r w:rsidRPr="00893332">
        <w:rPr>
          <w:i/>
          <w:sz w:val="22"/>
        </w:rPr>
        <w:t xml:space="preserve">à </w:t>
      </w:r>
      <w:r w:rsidRPr="00893332">
        <w:rPr>
          <w:i/>
          <w:iCs/>
          <w:sz w:val="22"/>
        </w:rPr>
        <w:t xml:space="preserve">sa malice. </w:t>
      </w:r>
      <w:r w:rsidRPr="00893332">
        <w:rPr>
          <w:sz w:val="22"/>
        </w:rPr>
        <w:t>M. Daunou la trouve spirituelle et satirique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>et M. Paulin Paris dit que</w:t>
      </w:r>
      <w:r w:rsidR="00F145E7" w:rsidRPr="00893332">
        <w:rPr>
          <w:sz w:val="22"/>
        </w:rPr>
        <w:t xml:space="preserve">, </w:t>
      </w:r>
      <w:r w:rsidRPr="00893332">
        <w:rPr>
          <w:i/>
          <w:iCs/>
          <w:sz w:val="22"/>
        </w:rPr>
        <w:t>par son mouvement et son caractère</w:t>
      </w:r>
      <w:r w:rsidR="00187E32" w:rsidRPr="00187E32">
        <w:rPr>
          <w:iCs/>
          <w:sz w:val="22"/>
        </w:rPr>
        <w:t>,</w:t>
      </w:r>
      <w:r w:rsidR="00F145E7" w:rsidRPr="00893332">
        <w:rPr>
          <w:i/>
          <w:iCs/>
          <w:sz w:val="22"/>
        </w:rPr>
        <w:t xml:space="preserve"> </w:t>
      </w:r>
      <w:r w:rsidRPr="00893332">
        <w:rPr>
          <w:i/>
          <w:iCs/>
          <w:sz w:val="22"/>
        </w:rPr>
        <w:t>elle rap</w:t>
      </w:r>
      <w:r w:rsidRPr="00893332">
        <w:rPr>
          <w:i/>
          <w:iCs/>
          <w:sz w:val="22"/>
        </w:rPr>
        <w:softHyphen/>
        <w:t>pelle assez bien des poésies légères moins anciennes</w:t>
      </w:r>
      <w:r w:rsidRPr="00893332">
        <w:rPr>
          <w:iCs/>
          <w:sz w:val="22"/>
        </w:rPr>
        <w:t>.</w:t>
      </w:r>
    </w:p>
  </w:footnote>
  <w:footnote w:id="3">
    <w:p w:rsidR="00325FCE" w:rsidRPr="00893332" w:rsidRDefault="00325FCE" w:rsidP="00187E32">
      <w:pPr>
        <w:pStyle w:val="Notedebasdepage"/>
        <w:ind w:firstLine="284"/>
        <w:jc w:val="both"/>
        <w:rPr>
          <w:sz w:val="22"/>
        </w:rPr>
      </w:pPr>
      <w:r w:rsidRPr="00893332">
        <w:rPr>
          <w:rStyle w:val="Appelnotedebasdep"/>
          <w:sz w:val="22"/>
        </w:rPr>
        <w:footnoteRef/>
      </w:r>
      <w:r w:rsidRPr="00893332">
        <w:rPr>
          <w:sz w:val="22"/>
        </w:rPr>
        <w:t xml:space="preserve"> Les </w:t>
      </w:r>
      <w:r w:rsidRPr="00893332">
        <w:rPr>
          <w:i/>
          <w:iCs/>
          <w:sz w:val="22"/>
        </w:rPr>
        <w:t>Frères-Prédicateurs</w:t>
      </w:r>
      <w:r w:rsidRPr="00893332">
        <w:rPr>
          <w:iCs/>
          <w:sz w:val="22"/>
        </w:rPr>
        <w:t xml:space="preserve"> </w:t>
      </w:r>
      <w:r w:rsidRPr="00893332">
        <w:rPr>
          <w:sz w:val="22"/>
        </w:rPr>
        <w:t xml:space="preserve">ou </w:t>
      </w:r>
      <w:r w:rsidRPr="00893332">
        <w:rPr>
          <w:i/>
          <w:sz w:val="22"/>
        </w:rPr>
        <w:t>Frères-Prêcheurs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>sont les Jacobins ou Dominicains.</w:t>
      </w:r>
    </w:p>
  </w:footnote>
  <w:footnote w:id="4">
    <w:p w:rsidR="00325FCE" w:rsidRPr="00893332" w:rsidRDefault="00325FCE" w:rsidP="00187E32">
      <w:pPr>
        <w:pStyle w:val="Notedebasdepage"/>
        <w:ind w:firstLine="284"/>
        <w:jc w:val="both"/>
        <w:rPr>
          <w:sz w:val="22"/>
        </w:rPr>
      </w:pPr>
      <w:r w:rsidRPr="00893332">
        <w:rPr>
          <w:rStyle w:val="Appelnotedebasdep"/>
          <w:sz w:val="22"/>
        </w:rPr>
        <w:footnoteRef/>
      </w:r>
      <w:r w:rsidRPr="00893332">
        <w:rPr>
          <w:sz w:val="22"/>
        </w:rPr>
        <w:t xml:space="preserve"> Les </w:t>
      </w:r>
      <w:r w:rsidRPr="00893332">
        <w:rPr>
          <w:i/>
          <w:iCs/>
          <w:sz w:val="22"/>
        </w:rPr>
        <w:t>Frères-Menus</w:t>
      </w:r>
      <w:r w:rsidRPr="00893332">
        <w:rPr>
          <w:iCs/>
          <w:sz w:val="22"/>
        </w:rPr>
        <w:t xml:space="preserve"> </w:t>
      </w:r>
      <w:r w:rsidRPr="00893332">
        <w:rPr>
          <w:sz w:val="22"/>
        </w:rPr>
        <w:t xml:space="preserve">ou </w:t>
      </w:r>
      <w:r w:rsidRPr="00893332">
        <w:rPr>
          <w:i/>
          <w:iCs/>
          <w:sz w:val="22"/>
        </w:rPr>
        <w:t>Mineurs</w:t>
      </w:r>
      <w:r w:rsidR="00F145E7" w:rsidRPr="00893332">
        <w:rPr>
          <w:iCs/>
          <w:sz w:val="22"/>
        </w:rPr>
        <w:t xml:space="preserve">, </w:t>
      </w:r>
      <w:r w:rsidRPr="00893332">
        <w:rPr>
          <w:sz w:val="22"/>
        </w:rPr>
        <w:t>étaient les Cor</w:t>
      </w:r>
      <w:r w:rsidRPr="00893332">
        <w:rPr>
          <w:sz w:val="22"/>
        </w:rPr>
        <w:softHyphen/>
        <w:t>deliers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>qui s</w:t>
      </w:r>
      <w:r w:rsidR="00F145E7" w:rsidRPr="00893332">
        <w:rPr>
          <w:sz w:val="22"/>
        </w:rPr>
        <w:t>’</w:t>
      </w:r>
      <w:r w:rsidRPr="00893332">
        <w:rPr>
          <w:sz w:val="22"/>
        </w:rPr>
        <w:t xml:space="preserve">appelaient ainsi par humilité. (Voyez le </w:t>
      </w:r>
      <w:r w:rsidRPr="00893332">
        <w:rPr>
          <w:i/>
          <w:iCs/>
          <w:sz w:val="22"/>
        </w:rPr>
        <w:t>Dit</w:t>
      </w:r>
      <w:r w:rsidRPr="00893332">
        <w:rPr>
          <w:iCs/>
          <w:sz w:val="22"/>
        </w:rPr>
        <w:t xml:space="preserve"> </w:t>
      </w:r>
      <w:r w:rsidRPr="00893332">
        <w:rPr>
          <w:sz w:val="22"/>
        </w:rPr>
        <w:t>qui porte leur nom.)</w:t>
      </w:r>
    </w:p>
  </w:footnote>
  <w:footnote w:id="5">
    <w:p w:rsidR="00325FCE" w:rsidRPr="00893332" w:rsidRDefault="00325FCE" w:rsidP="00187E32">
      <w:pPr>
        <w:pStyle w:val="Notedebasdepage"/>
        <w:ind w:firstLine="284"/>
        <w:jc w:val="both"/>
        <w:rPr>
          <w:iCs/>
          <w:sz w:val="22"/>
        </w:rPr>
      </w:pPr>
      <w:r w:rsidRPr="00893332">
        <w:rPr>
          <w:rStyle w:val="Appelnotedebasdep"/>
          <w:sz w:val="22"/>
        </w:rPr>
        <w:footnoteRef/>
      </w:r>
      <w:r w:rsidRPr="00893332">
        <w:rPr>
          <w:sz w:val="22"/>
        </w:rPr>
        <w:t xml:space="preserve"> Cette strophe est une allusion à l</w:t>
      </w:r>
      <w:r w:rsidR="00F145E7" w:rsidRPr="00893332">
        <w:rPr>
          <w:sz w:val="22"/>
        </w:rPr>
        <w:t>’</w:t>
      </w:r>
      <w:r w:rsidRPr="00893332">
        <w:rPr>
          <w:sz w:val="22"/>
        </w:rPr>
        <w:t>esprit envahis</w:t>
      </w:r>
      <w:r w:rsidRPr="00893332">
        <w:rPr>
          <w:sz w:val="22"/>
        </w:rPr>
        <w:softHyphen/>
        <w:t>seur qu</w:t>
      </w:r>
      <w:r w:rsidR="00F145E7" w:rsidRPr="00893332">
        <w:rPr>
          <w:sz w:val="22"/>
        </w:rPr>
        <w:t>’</w:t>
      </w:r>
      <w:r w:rsidRPr="00893332">
        <w:rPr>
          <w:sz w:val="22"/>
        </w:rPr>
        <w:t>on reprochait aux Cordeliers et aux Jacobins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>lesquels voulaient dire la messe et entendre la confession dans les paroisses au préjudice et sans la permission des curés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>ce qui excita de grandes querelles. (Voyez la note relative aux Jacobins dans la pièce in</w:t>
      </w:r>
      <w:r w:rsidRPr="00893332">
        <w:rPr>
          <w:sz w:val="22"/>
        </w:rPr>
        <w:softHyphen/>
        <w:t>titulée</w:t>
      </w:r>
      <w:r w:rsidR="00187E32">
        <w:rPr>
          <w:sz w:val="22"/>
        </w:rPr>
        <w:t> :</w:t>
      </w:r>
      <w:r w:rsidRPr="00893332">
        <w:rPr>
          <w:sz w:val="22"/>
        </w:rPr>
        <w:t xml:space="preserve"> </w:t>
      </w:r>
      <w:r w:rsidRPr="00893332">
        <w:rPr>
          <w:i/>
          <w:iCs/>
          <w:sz w:val="22"/>
        </w:rPr>
        <w:t>Les Ordres de Paris</w:t>
      </w:r>
      <w:r w:rsidRPr="00893332">
        <w:rPr>
          <w:iCs/>
          <w:sz w:val="22"/>
        </w:rPr>
        <w:t>.)</w:t>
      </w:r>
    </w:p>
  </w:footnote>
  <w:footnote w:id="6">
    <w:p w:rsidR="00325FCE" w:rsidRPr="00893332" w:rsidRDefault="00325FCE" w:rsidP="00187E32">
      <w:pPr>
        <w:pStyle w:val="Notedebasdepage"/>
        <w:ind w:firstLine="284"/>
        <w:jc w:val="both"/>
        <w:rPr>
          <w:sz w:val="22"/>
        </w:rPr>
      </w:pPr>
      <w:r w:rsidRPr="00893332">
        <w:rPr>
          <w:rStyle w:val="Appelnotedebasdep"/>
          <w:sz w:val="22"/>
        </w:rPr>
        <w:footnoteRef/>
      </w:r>
      <w:r w:rsidRPr="00893332">
        <w:rPr>
          <w:sz w:val="22"/>
        </w:rPr>
        <w:t xml:space="preserve"> Voyez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 xml:space="preserve">pour les Frères </w:t>
      </w:r>
      <w:r w:rsidRPr="00893332">
        <w:rPr>
          <w:i/>
          <w:iCs/>
          <w:sz w:val="22"/>
        </w:rPr>
        <w:t>de la Trinité</w:t>
      </w:r>
      <w:r w:rsidR="00F145E7" w:rsidRPr="00893332">
        <w:rPr>
          <w:iCs/>
          <w:sz w:val="22"/>
        </w:rPr>
        <w:t xml:space="preserve">, </w:t>
      </w:r>
      <w:r w:rsidRPr="00893332">
        <w:rPr>
          <w:sz w:val="22"/>
        </w:rPr>
        <w:t xml:space="preserve">les </w:t>
      </w:r>
      <w:r w:rsidRPr="00893332">
        <w:rPr>
          <w:i/>
          <w:iCs/>
          <w:sz w:val="22"/>
        </w:rPr>
        <w:t>Frères-Barrés</w:t>
      </w:r>
      <w:r w:rsidR="00F145E7" w:rsidRPr="00893332">
        <w:rPr>
          <w:iCs/>
          <w:sz w:val="22"/>
        </w:rPr>
        <w:t xml:space="preserve">, </w:t>
      </w:r>
      <w:r w:rsidRPr="00893332">
        <w:rPr>
          <w:sz w:val="22"/>
        </w:rPr>
        <w:t xml:space="preserve">les </w:t>
      </w:r>
      <w:r w:rsidRPr="00893332">
        <w:rPr>
          <w:i/>
          <w:iCs/>
          <w:sz w:val="22"/>
        </w:rPr>
        <w:t>Frères-Sacs</w:t>
      </w:r>
      <w:r w:rsidR="00F145E7" w:rsidRPr="00893332">
        <w:rPr>
          <w:iCs/>
          <w:sz w:val="22"/>
        </w:rPr>
        <w:t xml:space="preserve">, </w:t>
      </w:r>
      <w:r w:rsidRPr="00893332">
        <w:rPr>
          <w:sz w:val="22"/>
        </w:rPr>
        <w:t>la pièce intitulée</w:t>
      </w:r>
      <w:r w:rsidR="00187E32">
        <w:rPr>
          <w:sz w:val="22"/>
        </w:rPr>
        <w:t> :</w:t>
      </w:r>
      <w:r w:rsidRPr="00893332">
        <w:rPr>
          <w:sz w:val="22"/>
        </w:rPr>
        <w:t xml:space="preserve"> </w:t>
      </w:r>
      <w:r w:rsidRPr="00893332">
        <w:rPr>
          <w:i/>
          <w:iCs/>
          <w:sz w:val="22"/>
        </w:rPr>
        <w:t>Les Or</w:t>
      </w:r>
      <w:r w:rsidRPr="00893332">
        <w:rPr>
          <w:i/>
          <w:iCs/>
          <w:sz w:val="22"/>
        </w:rPr>
        <w:softHyphen/>
        <w:t>dres de Paris</w:t>
      </w:r>
      <w:r w:rsidR="00187E32">
        <w:rPr>
          <w:iCs/>
          <w:sz w:val="22"/>
        </w:rPr>
        <w:t> ;</w:t>
      </w:r>
      <w:r w:rsidR="00F145E7" w:rsidRPr="00893332">
        <w:rPr>
          <w:iCs/>
          <w:sz w:val="22"/>
        </w:rPr>
        <w:t xml:space="preserve"> </w:t>
      </w:r>
      <w:r w:rsidRPr="00893332">
        <w:rPr>
          <w:sz w:val="22"/>
        </w:rPr>
        <w:t xml:space="preserve">il y </w:t>
      </w:r>
      <w:r w:rsidRPr="00893332">
        <w:rPr>
          <w:iCs/>
          <w:sz w:val="22"/>
        </w:rPr>
        <w:t xml:space="preserve">a </w:t>
      </w:r>
      <w:r w:rsidRPr="00893332">
        <w:rPr>
          <w:sz w:val="22"/>
        </w:rPr>
        <w:t>en note quelques détails sur ces religieux.</w:t>
      </w:r>
    </w:p>
  </w:footnote>
  <w:footnote w:id="7">
    <w:p w:rsidR="00325FCE" w:rsidRPr="00893332" w:rsidRDefault="00325FCE" w:rsidP="00187E32">
      <w:pPr>
        <w:pStyle w:val="Notedebasdepage"/>
        <w:ind w:firstLine="284"/>
        <w:jc w:val="both"/>
        <w:rPr>
          <w:bCs/>
          <w:sz w:val="22"/>
        </w:rPr>
      </w:pPr>
      <w:r w:rsidRPr="00893332">
        <w:rPr>
          <w:rStyle w:val="Appelnotedebasdep"/>
          <w:sz w:val="22"/>
        </w:rPr>
        <w:footnoteRef/>
      </w:r>
      <w:r w:rsidRPr="00893332">
        <w:rPr>
          <w:sz w:val="22"/>
        </w:rPr>
        <w:t xml:space="preserve"> Mss. 7615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 xml:space="preserve">7633. </w:t>
      </w:r>
      <w:r w:rsidRPr="00893332">
        <w:rPr>
          <w:bCs/>
          <w:smallCaps/>
          <w:sz w:val="22"/>
        </w:rPr>
        <w:t>Var</w:t>
      </w:r>
      <w:r w:rsidRPr="00893332">
        <w:rPr>
          <w:bCs/>
          <w:sz w:val="22"/>
        </w:rPr>
        <w:t xml:space="preserve">. </w:t>
      </w:r>
      <w:r w:rsidRPr="00893332">
        <w:rPr>
          <w:sz w:val="22"/>
        </w:rPr>
        <w:t>engenuy (engendra). —Les Filles-Dieu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>dont parle ici Rutebeuf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 xml:space="preserve">étaient en </w:t>
      </w:r>
      <w:r w:rsidRPr="00893332">
        <w:rPr>
          <w:iCs/>
          <w:sz w:val="22"/>
        </w:rPr>
        <w:t xml:space="preserve">effet </w:t>
      </w:r>
      <w:r w:rsidRPr="00893332">
        <w:rPr>
          <w:i/>
          <w:iCs/>
          <w:sz w:val="22"/>
        </w:rPr>
        <w:t>plus de sept-vingt</w:t>
      </w:r>
      <w:r w:rsidR="00F145E7" w:rsidRPr="00893332">
        <w:rPr>
          <w:iCs/>
          <w:sz w:val="22"/>
        </w:rPr>
        <w:t xml:space="preserve">, </w:t>
      </w:r>
      <w:r w:rsidRPr="00893332">
        <w:rPr>
          <w:sz w:val="22"/>
        </w:rPr>
        <w:t>puisqu</w:t>
      </w:r>
      <w:r w:rsidR="00F145E7" w:rsidRPr="00893332">
        <w:rPr>
          <w:sz w:val="22"/>
        </w:rPr>
        <w:t>’</w:t>
      </w:r>
      <w:r w:rsidRPr="00893332">
        <w:rPr>
          <w:sz w:val="22"/>
        </w:rPr>
        <w:t>en 1265 saint Louis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>qui venait de leur permettre de tirer de l</w:t>
      </w:r>
      <w:r w:rsidR="00F145E7" w:rsidRPr="00893332">
        <w:rPr>
          <w:sz w:val="22"/>
        </w:rPr>
        <w:t>’</w:t>
      </w:r>
      <w:r w:rsidRPr="00893332">
        <w:rPr>
          <w:sz w:val="22"/>
        </w:rPr>
        <w:t>eau de la fon</w:t>
      </w:r>
      <w:r w:rsidRPr="00893332">
        <w:rPr>
          <w:sz w:val="22"/>
        </w:rPr>
        <w:softHyphen/>
        <w:t>taine de Saint-Lazare et de la conduire dans leur mo</w:t>
      </w:r>
      <w:r w:rsidRPr="00893332">
        <w:rPr>
          <w:sz w:val="22"/>
        </w:rPr>
        <w:softHyphen/>
        <w:t>nastère par une chaussée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 xml:space="preserve">leur fit une libéralité bien plus considérable </w:t>
      </w:r>
      <w:r w:rsidRPr="00893332">
        <w:rPr>
          <w:iCs/>
          <w:sz w:val="22"/>
        </w:rPr>
        <w:t xml:space="preserve">en </w:t>
      </w:r>
      <w:r w:rsidRPr="00893332">
        <w:rPr>
          <w:sz w:val="22"/>
        </w:rPr>
        <w:t>ordonnant qu</w:t>
      </w:r>
      <w:r w:rsidR="00F145E7" w:rsidRPr="00893332">
        <w:rPr>
          <w:sz w:val="22"/>
        </w:rPr>
        <w:t>’</w:t>
      </w:r>
      <w:r w:rsidRPr="00893332">
        <w:rPr>
          <w:sz w:val="22"/>
        </w:rPr>
        <w:t>elles seraient au nombre de dent cents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>et en leur assignant sur son trésor une rente de 400 livres. C</w:t>
      </w:r>
      <w:r w:rsidR="00F145E7" w:rsidRPr="00893332">
        <w:rPr>
          <w:sz w:val="22"/>
        </w:rPr>
        <w:t>’</w:t>
      </w:r>
      <w:r w:rsidRPr="00893332">
        <w:rPr>
          <w:sz w:val="22"/>
        </w:rPr>
        <w:t>est ce qui l</w:t>
      </w:r>
      <w:r w:rsidR="00F145E7" w:rsidRPr="00893332">
        <w:rPr>
          <w:sz w:val="22"/>
        </w:rPr>
        <w:t>’</w:t>
      </w:r>
      <w:r w:rsidRPr="00893332">
        <w:rPr>
          <w:sz w:val="22"/>
        </w:rPr>
        <w:t>a fait regarder à tort comme lé fondateur de leur monas</w:t>
      </w:r>
      <w:r w:rsidRPr="00893332">
        <w:rPr>
          <w:sz w:val="22"/>
        </w:rPr>
        <w:softHyphen/>
        <w:t>tère. (Voyez la pièce intitulée</w:t>
      </w:r>
      <w:r w:rsidR="00187E32">
        <w:rPr>
          <w:sz w:val="22"/>
        </w:rPr>
        <w:t> :</w:t>
      </w:r>
      <w:r w:rsidRPr="00893332">
        <w:rPr>
          <w:sz w:val="22"/>
        </w:rPr>
        <w:t xml:space="preserve"> </w:t>
      </w:r>
      <w:r w:rsidRPr="00893332">
        <w:rPr>
          <w:i/>
          <w:iCs/>
          <w:sz w:val="22"/>
        </w:rPr>
        <w:t>Le Dit des Règles</w:t>
      </w:r>
      <w:r w:rsidRPr="00893332">
        <w:rPr>
          <w:iCs/>
          <w:sz w:val="22"/>
        </w:rPr>
        <w:t>.)</w:t>
      </w:r>
    </w:p>
  </w:footnote>
  <w:footnote w:id="8">
    <w:p w:rsidR="00325FCE" w:rsidRPr="00893332" w:rsidRDefault="00325FCE" w:rsidP="00187E32">
      <w:pPr>
        <w:pStyle w:val="Notedebasdepage"/>
        <w:ind w:firstLine="284"/>
        <w:jc w:val="both"/>
        <w:rPr>
          <w:sz w:val="22"/>
        </w:rPr>
      </w:pPr>
      <w:r w:rsidRPr="00893332">
        <w:rPr>
          <w:rStyle w:val="Appelnotedebasdep"/>
          <w:sz w:val="22"/>
        </w:rPr>
        <w:footnoteRef/>
      </w:r>
      <w:r w:rsidRPr="00893332">
        <w:rPr>
          <w:sz w:val="22"/>
        </w:rPr>
        <w:t xml:space="preserve"> Ms. 7218. </w:t>
      </w:r>
      <w:r w:rsidRPr="00893332">
        <w:rPr>
          <w:smallCaps/>
          <w:sz w:val="22"/>
        </w:rPr>
        <w:t>Var</w:t>
      </w:r>
      <w:r w:rsidRPr="00893332">
        <w:rPr>
          <w:sz w:val="22"/>
        </w:rPr>
        <w:t>. a on moult.</w:t>
      </w:r>
    </w:p>
  </w:footnote>
  <w:footnote w:id="9">
    <w:p w:rsidR="00325FCE" w:rsidRPr="00893332" w:rsidRDefault="00325FCE" w:rsidP="00187E32">
      <w:pPr>
        <w:pStyle w:val="Notedebasdepage"/>
        <w:ind w:firstLine="284"/>
        <w:jc w:val="both"/>
        <w:rPr>
          <w:sz w:val="22"/>
        </w:rPr>
      </w:pPr>
      <w:r w:rsidRPr="00893332">
        <w:rPr>
          <w:rStyle w:val="Appelnotedebasdep"/>
          <w:sz w:val="22"/>
        </w:rPr>
        <w:footnoteRef/>
      </w:r>
      <w:r w:rsidRPr="00893332">
        <w:rPr>
          <w:sz w:val="22"/>
        </w:rPr>
        <w:t xml:space="preserve"> Ms. </w:t>
      </w:r>
      <w:r w:rsidRPr="00893332">
        <w:rPr>
          <w:bCs/>
          <w:sz w:val="22"/>
        </w:rPr>
        <w:t xml:space="preserve">7615. </w:t>
      </w:r>
      <w:r w:rsidRPr="00893332">
        <w:rPr>
          <w:bCs/>
          <w:smallCaps/>
          <w:sz w:val="22"/>
        </w:rPr>
        <w:t>Var</w:t>
      </w:r>
      <w:r w:rsidRPr="00893332">
        <w:rPr>
          <w:bCs/>
          <w:sz w:val="22"/>
        </w:rPr>
        <w:t xml:space="preserve">. </w:t>
      </w:r>
      <w:r w:rsidRPr="00893332">
        <w:rPr>
          <w:sz w:val="22"/>
        </w:rPr>
        <w:t>ont.</w:t>
      </w:r>
    </w:p>
  </w:footnote>
  <w:footnote w:id="10">
    <w:p w:rsidR="00325FCE" w:rsidRPr="00893332" w:rsidRDefault="00325FCE" w:rsidP="00187E32">
      <w:pPr>
        <w:pStyle w:val="Notedebasdepage"/>
        <w:ind w:firstLine="284"/>
        <w:jc w:val="both"/>
        <w:rPr>
          <w:sz w:val="22"/>
        </w:rPr>
      </w:pPr>
      <w:r w:rsidRPr="00893332">
        <w:rPr>
          <w:rStyle w:val="Appelnotedebasdep"/>
          <w:sz w:val="22"/>
        </w:rPr>
        <w:footnoteRef/>
      </w:r>
      <w:r w:rsidRPr="00893332">
        <w:rPr>
          <w:sz w:val="22"/>
        </w:rPr>
        <w:t xml:space="preserve"> La congrégation des Aveugles ou Quinze-Vingts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 xml:space="preserve">dans laquelle on appelait </w:t>
      </w:r>
      <w:r w:rsidRPr="00893332">
        <w:rPr>
          <w:i/>
          <w:iCs/>
          <w:sz w:val="22"/>
        </w:rPr>
        <w:t>Frères-Voyants</w:t>
      </w:r>
      <w:r w:rsidRPr="00893332">
        <w:rPr>
          <w:iCs/>
          <w:sz w:val="22"/>
        </w:rPr>
        <w:t xml:space="preserve"> </w:t>
      </w:r>
      <w:r w:rsidRPr="00893332">
        <w:rPr>
          <w:sz w:val="22"/>
        </w:rPr>
        <w:t>ceux qui voyaient clair et étaient mariés à des femmes aveugles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 xml:space="preserve">et </w:t>
      </w:r>
      <w:r w:rsidRPr="00893332">
        <w:rPr>
          <w:i/>
          <w:iCs/>
          <w:sz w:val="22"/>
        </w:rPr>
        <w:t>Sœurs-Voyantes</w:t>
      </w:r>
      <w:r w:rsidRPr="00893332">
        <w:rPr>
          <w:iCs/>
          <w:sz w:val="22"/>
        </w:rPr>
        <w:t xml:space="preserve"> </w:t>
      </w:r>
      <w:r w:rsidRPr="00893332">
        <w:rPr>
          <w:sz w:val="22"/>
        </w:rPr>
        <w:t xml:space="preserve">les femmes qui voyaient clair et étaient mariées à des hommes aveugles. Cette strophe prouve que la </w:t>
      </w:r>
      <w:r w:rsidRPr="00893332">
        <w:rPr>
          <w:i/>
          <w:iCs/>
          <w:sz w:val="22"/>
        </w:rPr>
        <w:t>Chanson des Ordres</w:t>
      </w:r>
      <w:r w:rsidRPr="00893332">
        <w:rPr>
          <w:iCs/>
          <w:sz w:val="22"/>
        </w:rPr>
        <w:t xml:space="preserve"> date </w:t>
      </w:r>
      <w:r w:rsidRPr="00893332">
        <w:rPr>
          <w:sz w:val="22"/>
        </w:rPr>
        <w:t>au plus tôt de 1258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 xml:space="preserve">époque de la fondation des </w:t>
      </w:r>
      <w:r w:rsidRPr="00893332">
        <w:rPr>
          <w:i/>
          <w:sz w:val="22"/>
        </w:rPr>
        <w:t>Quinze-Vingts</w:t>
      </w:r>
      <w:r w:rsidRPr="00893332">
        <w:rPr>
          <w:sz w:val="22"/>
        </w:rPr>
        <w:t xml:space="preserve"> par saint Louis.</w:t>
      </w:r>
    </w:p>
  </w:footnote>
  <w:footnote w:id="11">
    <w:p w:rsidR="00325FCE" w:rsidRPr="00893332" w:rsidRDefault="00325FCE" w:rsidP="00187E32">
      <w:pPr>
        <w:pStyle w:val="Notedebasdepage"/>
        <w:ind w:firstLine="284"/>
        <w:jc w:val="both"/>
        <w:rPr>
          <w:sz w:val="22"/>
        </w:rPr>
      </w:pPr>
      <w:r w:rsidRPr="00893332">
        <w:rPr>
          <w:rStyle w:val="Appelnotedebasdep"/>
          <w:sz w:val="22"/>
        </w:rPr>
        <w:footnoteRef/>
      </w:r>
      <w:r w:rsidRPr="00893332">
        <w:rPr>
          <w:sz w:val="22"/>
        </w:rPr>
        <w:t xml:space="preserve"> Les </w:t>
      </w:r>
      <w:r w:rsidRPr="00893332">
        <w:rPr>
          <w:i/>
          <w:iCs/>
          <w:sz w:val="22"/>
        </w:rPr>
        <w:t>Frères-Guillemains</w:t>
      </w:r>
      <w:r w:rsidR="00F145E7" w:rsidRPr="00893332">
        <w:rPr>
          <w:iCs/>
          <w:sz w:val="22"/>
        </w:rPr>
        <w:t xml:space="preserve">, </w:t>
      </w:r>
      <w:r w:rsidRPr="00893332">
        <w:rPr>
          <w:sz w:val="22"/>
        </w:rPr>
        <w:t xml:space="preserve">ou </w:t>
      </w:r>
      <w:r w:rsidRPr="00893332">
        <w:rPr>
          <w:i/>
          <w:iCs/>
          <w:sz w:val="22"/>
        </w:rPr>
        <w:t>Guillemites</w:t>
      </w:r>
      <w:r w:rsidR="00F145E7" w:rsidRPr="00893332">
        <w:rPr>
          <w:iCs/>
          <w:sz w:val="22"/>
        </w:rPr>
        <w:t xml:space="preserve">, </w:t>
      </w:r>
      <w:r w:rsidRPr="00893332">
        <w:rPr>
          <w:iCs/>
          <w:sz w:val="22"/>
        </w:rPr>
        <w:t xml:space="preserve">ainsi </w:t>
      </w:r>
      <w:r w:rsidRPr="00893332">
        <w:rPr>
          <w:sz w:val="22"/>
        </w:rPr>
        <w:t>appelés d</w:t>
      </w:r>
      <w:r w:rsidR="00F145E7" w:rsidRPr="00893332">
        <w:rPr>
          <w:sz w:val="22"/>
        </w:rPr>
        <w:t>’</w:t>
      </w:r>
      <w:r w:rsidRPr="00893332">
        <w:rPr>
          <w:sz w:val="22"/>
        </w:rPr>
        <w:t>un solitaire nommé Guillaume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>près du tombeau duquel fut bâti leur premier monastère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>s</w:t>
      </w:r>
      <w:r w:rsidR="00F145E7" w:rsidRPr="00893332">
        <w:rPr>
          <w:sz w:val="22"/>
        </w:rPr>
        <w:t>’</w:t>
      </w:r>
      <w:r w:rsidRPr="00893332">
        <w:rPr>
          <w:sz w:val="22"/>
        </w:rPr>
        <w:t xml:space="preserve">établirent en 1250 à Montrouge dans le monastère des </w:t>
      </w:r>
      <w:r w:rsidRPr="00893332">
        <w:rPr>
          <w:i/>
          <w:iCs/>
          <w:sz w:val="22"/>
        </w:rPr>
        <w:t>Machabées</w:t>
      </w:r>
      <w:r w:rsidRPr="00893332">
        <w:rPr>
          <w:iCs/>
          <w:sz w:val="22"/>
        </w:rPr>
        <w:t xml:space="preserve">. </w:t>
      </w:r>
      <w:r w:rsidRPr="00893332">
        <w:rPr>
          <w:sz w:val="22"/>
        </w:rPr>
        <w:t>On leur donna plus tard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>dans l</w:t>
      </w:r>
      <w:r w:rsidR="00F145E7" w:rsidRPr="00893332">
        <w:rPr>
          <w:sz w:val="22"/>
        </w:rPr>
        <w:t>’</w:t>
      </w:r>
      <w:r w:rsidRPr="00893332">
        <w:rPr>
          <w:sz w:val="22"/>
        </w:rPr>
        <w:t>intérieur de la ville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 xml:space="preserve">le couvent des </w:t>
      </w:r>
      <w:r w:rsidRPr="00893332">
        <w:rPr>
          <w:i/>
          <w:iCs/>
          <w:sz w:val="22"/>
        </w:rPr>
        <w:t>Blancs-Manteaux</w:t>
      </w:r>
      <w:r w:rsidR="00F145E7" w:rsidRPr="00893332">
        <w:rPr>
          <w:iCs/>
          <w:sz w:val="22"/>
        </w:rPr>
        <w:t xml:space="preserve">, </w:t>
      </w:r>
      <w:r w:rsidRPr="00893332">
        <w:rPr>
          <w:sz w:val="22"/>
        </w:rPr>
        <w:t>lorsque ceux-ci eurent été supprimés en exécution d</w:t>
      </w:r>
      <w:r w:rsidR="00F145E7" w:rsidRPr="00893332">
        <w:rPr>
          <w:sz w:val="22"/>
        </w:rPr>
        <w:t>’</w:t>
      </w:r>
      <w:r w:rsidRPr="00893332">
        <w:rPr>
          <w:sz w:val="22"/>
        </w:rPr>
        <w:t>un arti</w:t>
      </w:r>
      <w:r w:rsidRPr="00893332">
        <w:rPr>
          <w:sz w:val="22"/>
        </w:rPr>
        <w:softHyphen/>
        <w:t>cle du concile de Lyon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>qui détruisait tous les ordres mendiants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>à l</w:t>
      </w:r>
      <w:r w:rsidR="00F145E7" w:rsidRPr="00893332">
        <w:rPr>
          <w:sz w:val="22"/>
        </w:rPr>
        <w:t>’</w:t>
      </w:r>
      <w:r w:rsidRPr="00893332">
        <w:rPr>
          <w:sz w:val="22"/>
        </w:rPr>
        <w:t>exception des Jacobins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>des Cordeliers</w:t>
      </w:r>
      <w:r w:rsidR="00F145E7" w:rsidRPr="00893332">
        <w:rPr>
          <w:sz w:val="22"/>
        </w:rPr>
        <w:t>,</w:t>
      </w:r>
      <w:r w:rsidR="00187E32">
        <w:rPr>
          <w:sz w:val="22"/>
        </w:rPr>
        <w:t> :</w:t>
      </w:r>
      <w:r w:rsidRPr="00893332">
        <w:rPr>
          <w:sz w:val="22"/>
        </w:rPr>
        <w:t xml:space="preserve"> </w:t>
      </w:r>
      <w:r w:rsidRPr="00893332">
        <w:rPr>
          <w:iCs/>
          <w:sz w:val="22"/>
        </w:rPr>
        <w:t xml:space="preserve">des </w:t>
      </w:r>
      <w:r w:rsidRPr="00893332">
        <w:rPr>
          <w:sz w:val="22"/>
        </w:rPr>
        <w:t>Carmes et des Augustins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 xml:space="preserve">sous le nom desquels les Frères-Guillemains étaient compris. Quant aux </w:t>
      </w:r>
      <w:r w:rsidRPr="00893332">
        <w:rPr>
          <w:i/>
          <w:iCs/>
          <w:sz w:val="22"/>
        </w:rPr>
        <w:t>Hermins</w:t>
      </w:r>
      <w:r w:rsidR="00F145E7" w:rsidRPr="00893332">
        <w:rPr>
          <w:iCs/>
          <w:sz w:val="22"/>
        </w:rPr>
        <w:t xml:space="preserve">, </w:t>
      </w:r>
      <w:r w:rsidRPr="00893332">
        <w:rPr>
          <w:sz w:val="22"/>
        </w:rPr>
        <w:t xml:space="preserve">ce sont les </w:t>
      </w:r>
      <w:r w:rsidRPr="00893332">
        <w:rPr>
          <w:i/>
          <w:iCs/>
          <w:sz w:val="22"/>
        </w:rPr>
        <w:t>Hermites</w:t>
      </w:r>
      <w:r w:rsidRPr="00893332">
        <w:rPr>
          <w:iCs/>
          <w:sz w:val="22"/>
        </w:rPr>
        <w:t xml:space="preserve"> </w:t>
      </w:r>
      <w:r w:rsidRPr="00893332">
        <w:rPr>
          <w:sz w:val="22"/>
        </w:rPr>
        <w:t>de Saint-Augustin</w:t>
      </w:r>
      <w:r w:rsidR="00F145E7" w:rsidRPr="00893332">
        <w:rPr>
          <w:sz w:val="22"/>
        </w:rPr>
        <w:t xml:space="preserve">, </w:t>
      </w:r>
      <w:r w:rsidRPr="00893332">
        <w:rPr>
          <w:sz w:val="22"/>
        </w:rPr>
        <w:t>autre branche de l</w:t>
      </w:r>
      <w:r w:rsidR="00F145E7" w:rsidRPr="00893332">
        <w:rPr>
          <w:sz w:val="22"/>
        </w:rPr>
        <w:t>’</w:t>
      </w:r>
      <w:r w:rsidRPr="00893332">
        <w:rPr>
          <w:sz w:val="22"/>
        </w:rPr>
        <w:t>ordre général des Augustins. Leur congrégation fut instituée par Alexandre IV.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84C17"/>
    <w:rsid w:val="000A6A8C"/>
    <w:rsid w:val="00187E32"/>
    <w:rsid w:val="001A6222"/>
    <w:rsid w:val="001D5F5D"/>
    <w:rsid w:val="001E2223"/>
    <w:rsid w:val="00200F4B"/>
    <w:rsid w:val="00214B31"/>
    <w:rsid w:val="002208F1"/>
    <w:rsid w:val="002A12AA"/>
    <w:rsid w:val="0032051E"/>
    <w:rsid w:val="00324D9A"/>
    <w:rsid w:val="00325FCE"/>
    <w:rsid w:val="0038253D"/>
    <w:rsid w:val="003D5940"/>
    <w:rsid w:val="00443218"/>
    <w:rsid w:val="004B71C2"/>
    <w:rsid w:val="0053039B"/>
    <w:rsid w:val="00546476"/>
    <w:rsid w:val="005747EE"/>
    <w:rsid w:val="005C7534"/>
    <w:rsid w:val="0077661F"/>
    <w:rsid w:val="00803247"/>
    <w:rsid w:val="00822702"/>
    <w:rsid w:val="00893332"/>
    <w:rsid w:val="008E63CE"/>
    <w:rsid w:val="00904547"/>
    <w:rsid w:val="009064A4"/>
    <w:rsid w:val="00A0414B"/>
    <w:rsid w:val="00A57907"/>
    <w:rsid w:val="00AB3D59"/>
    <w:rsid w:val="00AC6E7A"/>
    <w:rsid w:val="00B1035C"/>
    <w:rsid w:val="00B3566B"/>
    <w:rsid w:val="00B36E8C"/>
    <w:rsid w:val="00B80BB6"/>
    <w:rsid w:val="00B82287"/>
    <w:rsid w:val="00BF68AF"/>
    <w:rsid w:val="00CB29F7"/>
    <w:rsid w:val="00CC1F34"/>
    <w:rsid w:val="00DE7FC0"/>
    <w:rsid w:val="00EA3358"/>
    <w:rsid w:val="00F1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309</Words>
  <Characters>1702</Characters>
  <Application>Microsoft Office Word</Application>
  <DocSecurity>0</DocSecurity>
  <Lines>14</Lines>
  <Paragraphs>4</Paragraphs>
  <ScaleCrop>false</ScaleCrop>
  <Company>Windows-Trust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28</cp:revision>
  <dcterms:created xsi:type="dcterms:W3CDTF">2010-03-14T14:48:00Z</dcterms:created>
  <dcterms:modified xsi:type="dcterms:W3CDTF">2010-07-22T13:10:00Z</dcterms:modified>
</cp:coreProperties>
</file>